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99" w:rsidRDefault="000D1D91">
      <w:r>
        <w:rPr>
          <w:rFonts w:hint="eastAsia"/>
        </w:rPr>
        <w:t xml:space="preserve">1O18 </w:t>
      </w:r>
      <w:r>
        <w:rPr>
          <w:rFonts w:hint="eastAsia"/>
        </w:rPr>
        <w:t>國際貿易實務第</w:t>
      </w:r>
      <w:r>
        <w:rPr>
          <w:rFonts w:hint="eastAsia"/>
        </w:rPr>
        <w:t>16</w:t>
      </w:r>
      <w:r>
        <w:rPr>
          <w:rFonts w:hint="eastAsia"/>
        </w:rPr>
        <w:t>版</w:t>
      </w:r>
      <w:r>
        <w:rPr>
          <w:rFonts w:hint="eastAsia"/>
        </w:rPr>
        <w:t xml:space="preserve">  </w:t>
      </w:r>
      <w:r>
        <w:rPr>
          <w:rFonts w:hint="eastAsia"/>
        </w:rPr>
        <w:t>補充說明</w:t>
      </w:r>
    </w:p>
    <w:p w:rsidR="000D1D91" w:rsidRDefault="000D1D91"/>
    <w:p w:rsidR="000D1D91" w:rsidRDefault="000D1D91">
      <w:r w:rsidRPr="000D1D91">
        <w:rPr>
          <w:rFonts w:hint="eastAsia"/>
        </w:rPr>
        <w:t>「經濟部國際貿易局」改制為「經濟部國際貿易署」</w:t>
      </w:r>
    </w:p>
    <w:p w:rsidR="000D1D91" w:rsidRDefault="000D1D91"/>
    <w:p w:rsidR="000D1D91" w:rsidRPr="000D1D91" w:rsidRDefault="000D1D91" w:rsidP="000D1D91">
      <w:pPr>
        <w:rPr>
          <w:b/>
          <w:szCs w:val="24"/>
        </w:rPr>
      </w:pPr>
      <w:r w:rsidRPr="000D1D91">
        <w:rPr>
          <w:rFonts w:hint="eastAsia"/>
          <w:b/>
          <w:szCs w:val="24"/>
        </w:rPr>
        <w:t>臺灣地區與大陸地區貿易許可辦法第三條、第七條、第九條修正草案總說明</w:t>
      </w:r>
    </w:p>
    <w:p w:rsidR="000D1D91" w:rsidRDefault="000D1D91" w:rsidP="000D1D91">
      <w:pPr>
        <w:rPr>
          <w:sz w:val="22"/>
        </w:rPr>
      </w:pPr>
      <w:r w:rsidRPr="000D1D91">
        <w:rPr>
          <w:rFonts w:hint="eastAsia"/>
          <w:sz w:val="22"/>
        </w:rPr>
        <w:t>臺灣地區與大陸地區貿易許可辦法</w:t>
      </w:r>
      <w:r w:rsidRPr="000D1D91">
        <w:rPr>
          <w:rFonts w:hint="eastAsia"/>
          <w:sz w:val="22"/>
        </w:rPr>
        <w:t>(</w:t>
      </w:r>
      <w:r w:rsidRPr="000D1D91">
        <w:rPr>
          <w:rFonts w:hint="eastAsia"/>
          <w:sz w:val="22"/>
        </w:rPr>
        <w:t>以下簡稱本辦法</w:t>
      </w:r>
      <w:r w:rsidRPr="000D1D91">
        <w:rPr>
          <w:rFonts w:hint="eastAsia"/>
          <w:sz w:val="22"/>
        </w:rPr>
        <w:t>)</w:t>
      </w:r>
      <w:r w:rsidRPr="000D1D91">
        <w:rPr>
          <w:rFonts w:hint="eastAsia"/>
          <w:sz w:val="22"/>
        </w:rPr>
        <w:t>於八十二年四月二十六日訂定發布施行迄今，歷經十一次修正，最近修正日期為一百十一年三月十六日。本次係為配合行政院組織改造，</w:t>
      </w:r>
      <w:r w:rsidRPr="000D1D91">
        <w:rPr>
          <w:rFonts w:hint="eastAsia"/>
          <w:color w:val="632423" w:themeColor="accent2" w:themeShade="80"/>
          <w:sz w:val="22"/>
        </w:rPr>
        <w:t>「經濟部國際貿易局」改制為「經濟部國際貿易署」</w:t>
      </w:r>
      <w:r w:rsidRPr="000D1D91">
        <w:rPr>
          <w:rFonts w:hint="eastAsia"/>
          <w:sz w:val="22"/>
        </w:rPr>
        <w:t>，</w:t>
      </w:r>
      <w:r w:rsidRPr="000D1D91">
        <w:rPr>
          <w:rFonts w:hint="eastAsia"/>
          <w:color w:val="632423" w:themeColor="accent2" w:themeShade="80"/>
          <w:sz w:val="22"/>
        </w:rPr>
        <w:t>修正原「經濟部國際貿易局」之權責事項，改由「經濟部國際貿易署」管轄；「經濟部加工出口區管理處」改制為「經濟部產業園區管理局」，修正原「經濟部加工出口區管理處」之權責事項，改由「經濟部產業園區管理局」管轄；以及「科技部」改制為「國家科學及技術委員會」，修正原「科技部」之權責事項，改由「國家科學及技術委員會」管轄，</w:t>
      </w:r>
      <w:proofErr w:type="gramStart"/>
      <w:r w:rsidRPr="000D1D91">
        <w:rPr>
          <w:rFonts w:hint="eastAsia"/>
          <w:sz w:val="22"/>
        </w:rPr>
        <w:t>爰</w:t>
      </w:r>
      <w:proofErr w:type="gramEnd"/>
      <w:r w:rsidRPr="000D1D91">
        <w:rPr>
          <w:rFonts w:hint="eastAsia"/>
          <w:sz w:val="22"/>
        </w:rPr>
        <w:t>擬具本辦法第三條、第七條、第九條修正草案，修正機關之名稱或簡稱。</w:t>
      </w:r>
    </w:p>
    <w:p w:rsidR="00E00429" w:rsidRDefault="00E00429" w:rsidP="000D1D91">
      <w:pPr>
        <w:rPr>
          <w:sz w:val="22"/>
        </w:rPr>
      </w:pPr>
    </w:p>
    <w:p w:rsidR="00E00429" w:rsidRDefault="00E00429" w:rsidP="000D1D91">
      <w:pPr>
        <w:rPr>
          <w:sz w:val="22"/>
        </w:rPr>
      </w:pPr>
    </w:p>
    <w:p w:rsidR="00E00429" w:rsidRDefault="00E00429" w:rsidP="000D1D91">
      <w:r w:rsidRPr="00E00429">
        <w:rPr>
          <w:rFonts w:hint="eastAsia"/>
        </w:rPr>
        <w:t>經濟部國際貿易局配合行政院組織改造，自</w:t>
      </w:r>
      <w:r w:rsidRPr="00E00429">
        <w:rPr>
          <w:rFonts w:hint="eastAsia"/>
        </w:rPr>
        <w:t>112</w:t>
      </w:r>
      <w:r w:rsidRPr="00E00429">
        <w:rPr>
          <w:rFonts w:hint="eastAsia"/>
        </w:rPr>
        <w:t>年</w:t>
      </w:r>
      <w:r w:rsidRPr="00E00429">
        <w:rPr>
          <w:rFonts w:hint="eastAsia"/>
        </w:rPr>
        <w:t>9</w:t>
      </w:r>
      <w:r w:rsidRPr="00E00429">
        <w:rPr>
          <w:rFonts w:hint="eastAsia"/>
        </w:rPr>
        <w:t>月</w:t>
      </w:r>
      <w:r w:rsidRPr="00E00429">
        <w:rPr>
          <w:rFonts w:hint="eastAsia"/>
        </w:rPr>
        <w:t>26</w:t>
      </w:r>
      <w:r w:rsidRPr="00E00429">
        <w:rPr>
          <w:rFonts w:hint="eastAsia"/>
        </w:rPr>
        <w:t>日起改制為「經濟部國際貿易署」，英文名稱為</w:t>
      </w:r>
      <w:r w:rsidRPr="00E00429">
        <w:rPr>
          <w:rFonts w:hint="eastAsia"/>
        </w:rPr>
        <w:t xml:space="preserve">International Trade </w:t>
      </w:r>
      <w:proofErr w:type="spellStart"/>
      <w:r w:rsidRPr="00E00429">
        <w:rPr>
          <w:rFonts w:hint="eastAsia"/>
        </w:rPr>
        <w:t>Administration,Ministry</w:t>
      </w:r>
      <w:proofErr w:type="spellEnd"/>
      <w:r w:rsidRPr="00E00429">
        <w:rPr>
          <w:rFonts w:hint="eastAsia"/>
        </w:rPr>
        <w:t xml:space="preserve"> of Economic Affairs</w:t>
      </w:r>
      <w:r w:rsidRPr="00E00429">
        <w:rPr>
          <w:rFonts w:hint="eastAsia"/>
        </w:rPr>
        <w:t>，簡稱為</w:t>
      </w:r>
      <w:r w:rsidRPr="00E00429">
        <w:rPr>
          <w:rFonts w:hint="eastAsia"/>
        </w:rPr>
        <w:t>TITA</w:t>
      </w:r>
      <w:r w:rsidRPr="00E00429">
        <w:rPr>
          <w:rFonts w:hint="eastAsia"/>
        </w:rPr>
        <w:t>，請相關會員廠商知悉。</w:t>
      </w:r>
    </w:p>
    <w:p w:rsidR="00E00429" w:rsidRDefault="00E00429" w:rsidP="000D1D91"/>
    <w:p w:rsidR="00E00429" w:rsidRDefault="00E00429" w:rsidP="000D1D91"/>
    <w:p w:rsidR="00E00429" w:rsidRDefault="00E00429" w:rsidP="000D1D91">
      <w:pPr>
        <w:rPr>
          <w:rFonts w:hint="eastAsia"/>
        </w:rPr>
      </w:pPr>
      <w:r>
        <w:t>經濟部　公告</w:t>
      </w:r>
      <w:r>
        <w:br/>
      </w:r>
      <w:r>
        <w:t>發文日期：中華民國</w:t>
      </w:r>
      <w:r>
        <w:t>113</w:t>
      </w:r>
      <w:r>
        <w:t>年</w:t>
      </w:r>
      <w:r>
        <w:t>3</w:t>
      </w:r>
      <w:r>
        <w:t>月</w:t>
      </w:r>
      <w:r>
        <w:t>1</w:t>
      </w:r>
      <w:r>
        <w:t>日</w:t>
      </w:r>
      <w:r>
        <w:br/>
      </w:r>
      <w:r>
        <w:t>發文字號：經貿字第</w:t>
      </w:r>
      <w:r>
        <w:t>11350200360</w:t>
      </w:r>
      <w:r>
        <w:t>號</w:t>
      </w:r>
      <w:r>
        <w:br/>
      </w:r>
      <w:r>
        <w:t>附件：如</w:t>
      </w:r>
      <w:r>
        <w:t>11350200360.pdf</w:t>
      </w:r>
      <w:r>
        <w:t>檔</w:t>
      </w:r>
      <w:r>
        <w:br/>
      </w:r>
      <w:r w:rsidRPr="00E00429">
        <w:t>https://www.moea.gov.tw/Mns/populace/news/News.aspx?kind=2&amp;menu_id=41&amp;news_id=114005</w:t>
      </w:r>
      <w:r>
        <w:br/>
      </w:r>
      <w:r>
        <w:t>主旨：修正「限制輸出貨品表」及「限制輸入貨品表」輸出入規定之機關名稱，並自即日生效。</w:t>
      </w:r>
      <w:r>
        <w:br/>
      </w:r>
      <w:r>
        <w:t>依據：貿易法第十一條第二項。</w:t>
      </w:r>
      <w:r>
        <w:br/>
      </w:r>
      <w:r>
        <w:t>公告事項：</w:t>
      </w:r>
      <w:r>
        <w:br/>
      </w:r>
      <w:r>
        <w:t>一、配合行政院組織改造，「經濟部國際貿易局」改制為「經濟部國際貿易署」，原「經濟部國際貿易局」之權責事項，改由「經濟部國際貿易署」管轄；另「經濟部投資審議委員會」改制為「經濟部投資審議司」，</w:t>
      </w:r>
      <w:proofErr w:type="gramStart"/>
      <w:r>
        <w:t>改制後屬本部</w:t>
      </w:r>
      <w:proofErr w:type="gramEnd"/>
      <w:r>
        <w:t>一級內部單位，原屬「經濟部投資審議委員會」之權責事項，變更為「經濟部」管轄；又「行政院農業委員會」改制為「農業部」，原「行政院農業委員會」之權責事項，改由「農業部」管轄。</w:t>
      </w:r>
      <w:r>
        <w:br/>
      </w:r>
      <w:r>
        <w:t>二、修正「限制輸出貨品表」及「限制輸入貨品表」如下：</w:t>
      </w:r>
      <w:r>
        <w:br/>
        <w:t>(</w:t>
      </w:r>
      <w:proofErr w:type="gramStart"/>
      <w:r>
        <w:t>一</w:t>
      </w:r>
      <w:proofErr w:type="gramEnd"/>
      <w:r>
        <w:t>)</w:t>
      </w:r>
      <w:r>
        <w:t>「限制輸出貨品表」中輸出規定代號「</w:t>
      </w:r>
      <w:r>
        <w:t>121</w:t>
      </w:r>
      <w:r>
        <w:t>」及「</w:t>
      </w:r>
      <w:r>
        <w:t>488</w:t>
      </w:r>
      <w:r>
        <w:t>」內容之「貿易局」修</w:t>
      </w:r>
      <w:r>
        <w:lastRenderedPageBreak/>
        <w:t>正為「經濟部國際貿易署」及「經濟部投資審議委員會」修正為「經濟部」</w:t>
      </w:r>
      <w:proofErr w:type="gramStart"/>
      <w:r>
        <w:t>（</w:t>
      </w:r>
      <w:proofErr w:type="gramEnd"/>
      <w:r>
        <w:t>如附件</w:t>
      </w:r>
      <w:r>
        <w:t>1)</w:t>
      </w:r>
      <w:r>
        <w:t>，另紅</w:t>
      </w:r>
      <w:proofErr w:type="gramStart"/>
      <w:r>
        <w:t>檜</w:t>
      </w:r>
      <w:proofErr w:type="gramEnd"/>
      <w:r>
        <w:t>等</w:t>
      </w:r>
      <w:r>
        <w:t>5</w:t>
      </w:r>
      <w:r>
        <w:t>項貨品</w:t>
      </w:r>
      <w:proofErr w:type="gramStart"/>
      <w:r>
        <w:t>（</w:t>
      </w:r>
      <w:proofErr w:type="gramEnd"/>
      <w:r>
        <w:t>如附件</w:t>
      </w:r>
      <w:r>
        <w:t>2</w:t>
      </w:r>
      <w:proofErr w:type="gramStart"/>
      <w:r>
        <w:t>）</w:t>
      </w:r>
      <w:proofErr w:type="gramEnd"/>
      <w:r>
        <w:t>，修正為</w:t>
      </w:r>
      <w:proofErr w:type="gramStart"/>
      <w:r>
        <w:t>輸出免另向</w:t>
      </w:r>
      <w:proofErr w:type="gramEnd"/>
      <w:r>
        <w:t>「經濟部國際貿易署」申請輸出許可證。</w:t>
      </w:r>
      <w:r>
        <w:br/>
        <w:t>(</w:t>
      </w:r>
      <w:r>
        <w:t>二</w:t>
      </w:r>
      <w:r>
        <w:t>)</w:t>
      </w:r>
      <w:r>
        <w:t>「限制輸入貨品表」中輸入規定代號「</w:t>
      </w:r>
      <w:r>
        <w:t>113</w:t>
      </w:r>
      <w:r>
        <w:t>」內容之「經濟部國際貿易局及「</w:t>
      </w:r>
      <w:r>
        <w:t>121</w:t>
      </w:r>
      <w:r>
        <w:t>」內容之「貿易局」修正為「經濟部國際貿易署」（如附件</w:t>
      </w:r>
      <w:r>
        <w:t>3</w:t>
      </w:r>
      <w:r>
        <w:t>），另船舶使用之信號火炬等</w:t>
      </w:r>
      <w:r>
        <w:t>8</w:t>
      </w:r>
      <w:r>
        <w:t>項貨品（如附件</w:t>
      </w:r>
      <w:r>
        <w:t>4</w:t>
      </w:r>
      <w:r>
        <w:t>）及射擊動能之彈簧、空氣或瓦斯槍枝等</w:t>
      </w:r>
      <w:r>
        <w:t>2</w:t>
      </w:r>
      <w:r>
        <w:t>項貨品（如附件</w:t>
      </w:r>
      <w:r>
        <w:t>5</w:t>
      </w:r>
      <w:r>
        <w:t>），修正為</w:t>
      </w:r>
      <w:proofErr w:type="gramStart"/>
      <w:r>
        <w:t>輸入免另向</w:t>
      </w:r>
      <w:proofErr w:type="gramEnd"/>
      <w:r>
        <w:t>「經濟部國際貿易署」申請輸入許可證。</w:t>
      </w:r>
      <w:r>
        <w:br/>
        <w:t>(</w:t>
      </w:r>
      <w:r>
        <w:t>三</w:t>
      </w:r>
      <w:r>
        <w:t>)</w:t>
      </w:r>
      <w:r>
        <w:t>「限制輸入貨品表」中其他相關輸入規定二（十三）內容之「行政院農業委員會」修正為「農業部」</w:t>
      </w:r>
      <w:r>
        <w:t>(</w:t>
      </w:r>
      <w:r>
        <w:t>如附件</w:t>
      </w:r>
      <w:r>
        <w:t>6)</w:t>
      </w:r>
      <w:r>
        <w:t>。</w:t>
      </w:r>
      <w:r>
        <w:br/>
      </w:r>
      <w:r>
        <w:br/>
      </w:r>
      <w:r w:rsidR="00607384">
        <w:rPr>
          <w:rFonts w:hint="eastAsia"/>
        </w:rPr>
        <w:br/>
      </w:r>
      <w:r w:rsidR="00607384">
        <w:rPr>
          <w:rFonts w:hint="eastAsia"/>
        </w:rPr>
        <w:br/>
        <w:t xml:space="preserve">P65 </w:t>
      </w:r>
      <w:r w:rsidR="00607384">
        <w:rPr>
          <w:rFonts w:hint="eastAsia"/>
        </w:rPr>
        <w:t>圖</w:t>
      </w:r>
      <w:r w:rsidR="00607384">
        <w:rPr>
          <w:rFonts w:hint="eastAsia"/>
        </w:rPr>
        <w:t xml:space="preserve">5-1 </w:t>
      </w:r>
      <w:r w:rsidR="00607384">
        <w:rPr>
          <w:rFonts w:hint="eastAsia"/>
        </w:rPr>
        <w:t>左下方</w:t>
      </w:r>
      <w:r w:rsidR="00607384">
        <w:rPr>
          <w:rFonts w:hint="eastAsia"/>
        </w:rPr>
        <w:t xml:space="preserve"> </w:t>
      </w:r>
      <w:r w:rsidR="00607384" w:rsidRPr="00607384">
        <w:rPr>
          <w:rFonts w:hint="eastAsia"/>
          <w:color w:val="FF0000"/>
          <w:highlight w:val="lightGray"/>
        </w:rPr>
        <w:t>賣</w:t>
      </w:r>
      <w:r w:rsidR="00607384" w:rsidRPr="00607384">
        <w:rPr>
          <w:rFonts w:hint="eastAsia"/>
          <w:highlight w:val="lightGray"/>
        </w:rPr>
        <w:t>方出口手續</w:t>
      </w:r>
      <w:r w:rsidR="00607384">
        <w:rPr>
          <w:rFonts w:hint="eastAsia"/>
        </w:rPr>
        <w:t xml:space="preserve">  </w:t>
      </w:r>
      <w:r w:rsidR="00607384">
        <w:rPr>
          <w:rFonts w:hint="eastAsia"/>
        </w:rPr>
        <w:t>應改為</w:t>
      </w:r>
      <w:r w:rsidR="00607384">
        <w:rPr>
          <w:rFonts w:hint="eastAsia"/>
        </w:rPr>
        <w:t xml:space="preserve">   </w:t>
      </w:r>
      <w:r w:rsidR="00607384" w:rsidRPr="00607384">
        <w:rPr>
          <w:rFonts w:hint="eastAsia"/>
          <w:color w:val="CC0099"/>
          <w:highlight w:val="yellow"/>
        </w:rPr>
        <w:t>買</w:t>
      </w:r>
      <w:r w:rsidR="00607384" w:rsidRPr="00607384">
        <w:rPr>
          <w:rFonts w:hint="eastAsia"/>
          <w:highlight w:val="yellow"/>
        </w:rPr>
        <w:t>方出口手續</w:t>
      </w:r>
    </w:p>
    <w:p w:rsidR="00607384" w:rsidRDefault="00607384" w:rsidP="000D1D91">
      <w:pPr>
        <w:rPr>
          <w:rFonts w:hint="eastAsia"/>
        </w:rPr>
      </w:pPr>
    </w:p>
    <w:p w:rsidR="00607384" w:rsidRDefault="00607384" w:rsidP="000D1D91">
      <w:pPr>
        <w:rPr>
          <w:rFonts w:hint="eastAsia"/>
        </w:rPr>
      </w:pPr>
    </w:p>
    <w:p w:rsidR="00607384" w:rsidRDefault="00607384" w:rsidP="000D1D91">
      <w:pPr>
        <w:rPr>
          <w:rFonts w:hint="eastAsia"/>
        </w:rPr>
      </w:pPr>
      <w:r w:rsidRPr="00607384">
        <w:rPr>
          <w:rFonts w:hint="eastAsia"/>
        </w:rPr>
        <w:t xml:space="preserve">P86 </w:t>
      </w:r>
      <w:r w:rsidRPr="00607384">
        <w:rPr>
          <w:rFonts w:hint="eastAsia"/>
        </w:rPr>
        <w:t>圖</w:t>
      </w:r>
      <w:r w:rsidRPr="00607384">
        <w:rPr>
          <w:rFonts w:hint="eastAsia"/>
        </w:rPr>
        <w:t>5-13</w:t>
      </w:r>
      <w:r>
        <w:rPr>
          <w:rFonts w:hint="eastAsia"/>
        </w:rPr>
        <w:t xml:space="preserve">  </w:t>
      </w:r>
      <w:r>
        <w:rPr>
          <w:rFonts w:hint="eastAsia"/>
        </w:rPr>
        <w:t>右下方</w:t>
      </w:r>
      <w:r>
        <w:rPr>
          <w:rFonts w:hint="eastAsia"/>
        </w:rPr>
        <w:t xml:space="preserve">  </w:t>
      </w:r>
      <w:r w:rsidRPr="00607384">
        <w:rPr>
          <w:rFonts w:ascii="Calibri" w:eastAsia="新細明體" w:hAnsi="Calibri" w:cs="新細明體"/>
          <w:color w:val="FF0000"/>
          <w:kern w:val="0"/>
          <w:szCs w:val="24"/>
          <w:highlight w:val="lightGray"/>
        </w:rPr>
        <w:t>買</w:t>
      </w:r>
      <w:r w:rsidRPr="00607384">
        <w:rPr>
          <w:rFonts w:ascii="Calibri" w:eastAsia="新細明體" w:hAnsi="Calibri" w:cs="新細明體"/>
          <w:color w:val="000000"/>
          <w:kern w:val="0"/>
          <w:szCs w:val="24"/>
          <w:highlight w:val="lightGray"/>
        </w:rPr>
        <w:t>方進口手續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 xml:space="preserve">  </w:t>
      </w:r>
      <w:r w:rsidRPr="00DF7AD9">
        <w:rPr>
          <w:rFonts w:ascii="Calibri" w:eastAsia="新細明體" w:hAnsi="Calibri" w:cs="新細明體"/>
          <w:color w:val="000000"/>
          <w:kern w:val="0"/>
          <w:szCs w:val="24"/>
        </w:rPr>
        <w:t>應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改</w:t>
      </w:r>
      <w:r w:rsidRPr="00DF7AD9">
        <w:rPr>
          <w:rFonts w:ascii="Calibri" w:eastAsia="新細明體" w:hAnsi="Calibri" w:cs="新細明體"/>
          <w:color w:val="000000"/>
          <w:kern w:val="0"/>
          <w:szCs w:val="24"/>
        </w:rPr>
        <w:t>為</w:t>
      </w:r>
      <w:r>
        <w:rPr>
          <w:rFonts w:ascii="Calibri" w:eastAsia="新細明體" w:hAnsi="Calibri" w:cs="新細明體" w:hint="eastAsia"/>
          <w:color w:val="000000"/>
          <w:kern w:val="0"/>
          <w:szCs w:val="24"/>
        </w:rPr>
        <w:t xml:space="preserve">  </w:t>
      </w:r>
      <w:r w:rsidRPr="00607384">
        <w:rPr>
          <w:rFonts w:ascii="Calibri" w:eastAsia="新細明體" w:hAnsi="Calibri" w:cs="新細明體"/>
          <w:color w:val="CC0099"/>
          <w:kern w:val="0"/>
          <w:szCs w:val="24"/>
          <w:highlight w:val="yellow"/>
        </w:rPr>
        <w:t>賣</w:t>
      </w:r>
      <w:r w:rsidRPr="00607384">
        <w:rPr>
          <w:rFonts w:ascii="Calibri" w:eastAsia="新細明體" w:hAnsi="Calibri" w:cs="新細明體"/>
          <w:color w:val="000000"/>
          <w:kern w:val="0"/>
          <w:szCs w:val="24"/>
          <w:highlight w:val="yellow"/>
        </w:rPr>
        <w:t>方進口手續</w:t>
      </w:r>
    </w:p>
    <w:p w:rsidR="00607384" w:rsidRDefault="00607384" w:rsidP="000D1D91">
      <w:pPr>
        <w:rPr>
          <w:rFonts w:hint="eastAsia"/>
        </w:rPr>
      </w:pPr>
    </w:p>
    <w:p w:rsidR="00607384" w:rsidRDefault="00607384" w:rsidP="000D1D91">
      <w:pPr>
        <w:rPr>
          <w:rFonts w:hint="eastAsia"/>
        </w:rPr>
      </w:pPr>
    </w:p>
    <w:p w:rsidR="00607384" w:rsidRPr="00DF7AD9" w:rsidRDefault="00607384" w:rsidP="00607384">
      <w:pPr>
        <w:widowControl/>
        <w:rPr>
          <w:rFonts w:ascii="Calibri" w:eastAsia="新細明體" w:hAnsi="Calibri" w:cs="新細明體"/>
          <w:color w:val="000000"/>
          <w:kern w:val="0"/>
          <w:szCs w:val="24"/>
        </w:rPr>
      </w:pPr>
      <w:r>
        <w:rPr>
          <w:rFonts w:ascii="Calibri" w:eastAsia="新細明體" w:hAnsi="Calibri" w:cs="新細明體" w:hint="eastAsia"/>
          <w:color w:val="000000"/>
          <w:kern w:val="0"/>
          <w:szCs w:val="24"/>
        </w:rPr>
        <w:t>P</w:t>
      </w:r>
      <w:bookmarkStart w:id="0" w:name="_GoBack"/>
      <w:bookmarkEnd w:id="0"/>
      <w:r w:rsidRPr="00DF7AD9">
        <w:rPr>
          <w:rFonts w:ascii="Calibri" w:eastAsia="新細明體" w:hAnsi="Calibri" w:cs="新細明體"/>
          <w:color w:val="000000"/>
          <w:kern w:val="0"/>
          <w:szCs w:val="24"/>
        </w:rPr>
        <w:t>87</w:t>
      </w:r>
      <w:r w:rsidRPr="00DF7AD9">
        <w:rPr>
          <w:rFonts w:ascii="Calibri" w:eastAsia="新細明體" w:hAnsi="Calibri" w:cs="新細明體"/>
          <w:color w:val="000000"/>
          <w:kern w:val="0"/>
          <w:szCs w:val="24"/>
        </w:rPr>
        <w:t>圖</w:t>
      </w:r>
      <w:r w:rsidRPr="00DF7AD9">
        <w:rPr>
          <w:rFonts w:ascii="Calibri" w:eastAsia="新細明體" w:hAnsi="Calibri" w:cs="新細明體"/>
          <w:color w:val="000000"/>
          <w:kern w:val="0"/>
          <w:szCs w:val="24"/>
        </w:rPr>
        <w:t>5-14</w:t>
      </w:r>
    </w:p>
    <w:p w:rsidR="00607384" w:rsidRPr="00DF7AD9" w:rsidRDefault="00607384" w:rsidP="00607384">
      <w:pPr>
        <w:widowControl/>
        <w:rPr>
          <w:rFonts w:ascii="Calibri" w:eastAsia="新細明體" w:hAnsi="Calibri" w:cs="新細明體"/>
          <w:color w:val="FF0000"/>
          <w:kern w:val="0"/>
          <w:szCs w:val="24"/>
        </w:rPr>
      </w:pPr>
      <w:r w:rsidRPr="00DF7AD9">
        <w:rPr>
          <w:rFonts w:ascii="Calibri" w:eastAsia="新細明體" w:hAnsi="Calibri" w:cs="新細明體"/>
          <w:color w:val="000000"/>
          <w:kern w:val="0"/>
          <w:szCs w:val="24"/>
        </w:rPr>
        <w:t xml:space="preserve">    </w:t>
      </w:r>
      <w:r w:rsidRPr="00DF7AD9">
        <w:rPr>
          <w:rFonts w:ascii="Calibri" w:eastAsia="新細明體" w:hAnsi="Calibri" w:cs="新細明體"/>
          <w:color w:val="0070C0"/>
          <w:kern w:val="0"/>
          <w:szCs w:val="24"/>
        </w:rPr>
        <w:t>DUP</w:t>
      </w:r>
      <w:r w:rsidRPr="00DF7AD9">
        <w:rPr>
          <w:rFonts w:ascii="Calibri" w:eastAsia="新細明體" w:hAnsi="Calibri" w:cs="新細明體"/>
          <w:color w:val="000000"/>
          <w:kern w:val="0"/>
          <w:szCs w:val="24"/>
        </w:rPr>
        <w:t>應為</w:t>
      </w:r>
      <w:r w:rsidRPr="00DF7AD9">
        <w:rPr>
          <w:rFonts w:ascii="Calibri" w:eastAsia="新細明體" w:hAnsi="Calibri" w:cs="新細明體"/>
          <w:color w:val="FF0000"/>
          <w:kern w:val="0"/>
          <w:szCs w:val="24"/>
        </w:rPr>
        <w:t>DPU</w:t>
      </w:r>
    </w:p>
    <w:p w:rsidR="00607384" w:rsidRDefault="00607384" w:rsidP="000D1D91"/>
    <w:sectPr w:rsidR="006073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91"/>
    <w:rsid w:val="000D1D91"/>
    <w:rsid w:val="004E1999"/>
    <w:rsid w:val="00607384"/>
    <w:rsid w:val="00E0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73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7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CE24-3CC8-4526-A3FC-1072909B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>SYNNEX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WUNAN</dc:creator>
  <cp:lastModifiedBy>WUNAN</cp:lastModifiedBy>
  <cp:revision>2</cp:revision>
  <dcterms:created xsi:type="dcterms:W3CDTF">2024-07-29T08:21:00Z</dcterms:created>
  <dcterms:modified xsi:type="dcterms:W3CDTF">2024-07-29T08:21:00Z</dcterms:modified>
</cp:coreProperties>
</file>